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5A6829" w:rsidRPr="005A6829" w:rsidTr="005A6829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5A6829" w:rsidRPr="005A6829" w:rsidRDefault="005A6829" w:rsidP="005A6829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755    </w:t>
            </w:r>
            <w:bookmarkStart w:id="0" w:name="_GoBack"/>
            <w:bookmarkEnd w:id="0"/>
            <w:r w:rsidRPr="005A6829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K1* ve K2* Yetki Belgeleri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A6829" w:rsidRPr="005A6829" w:rsidRDefault="005A6829" w:rsidP="005A682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A6829" w:rsidRPr="005A6829" w:rsidRDefault="005A6829" w:rsidP="005A682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829" w:rsidRPr="005A6829" w:rsidRDefault="005A6829" w:rsidP="005A68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5A6829" w:rsidRPr="005A6829" w:rsidTr="005A682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6829" w:rsidRPr="005A6829" w:rsidRDefault="005A6829" w:rsidP="005A682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 / 755</w:t>
            </w:r>
          </w:p>
          <w:p w:rsidR="005A6829" w:rsidRPr="005A6829" w:rsidRDefault="005A6829" w:rsidP="005A682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A6829" w:rsidRPr="005A6829" w:rsidRDefault="005A6829" w:rsidP="005A682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  a ) 07.01.2010 tarih, 2010 / 31 sayılı yazımız</w:t>
            </w:r>
          </w:p>
          <w:p w:rsidR="005A6829" w:rsidRPr="005A6829" w:rsidRDefault="005A6829" w:rsidP="005A682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A6829" w:rsidRPr="005A6829" w:rsidRDefault="005A6829" w:rsidP="005A682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 b ) T.C. Ulaştırma Bakanlığı Kara Ulaştırması Genel Müdürlüğü’nün 30.12.2009 tarih, 2010 / KUGM – 04 / Genel sayılı genelgesi</w:t>
            </w:r>
          </w:p>
          <w:p w:rsidR="005A6829" w:rsidRPr="005A6829" w:rsidRDefault="005A6829" w:rsidP="005A682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A6829" w:rsidRPr="005A6829" w:rsidRDefault="005A6829" w:rsidP="005A682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T.C. Ulaştırma Bakanlığı Kara Ulaştırması Genel Müdürlüğü’nün Karayolu Taşıma Yönetmeliği’nin Uygulanmasına İlişkin Hususlar ilgi : a’da kayıtlı yazımız ile tarafınıza bildirilmiştir.</w:t>
            </w:r>
          </w:p>
          <w:p w:rsidR="005A6829" w:rsidRPr="005A6829" w:rsidRDefault="005A6829" w:rsidP="005A682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A6829" w:rsidRPr="005A6829" w:rsidRDefault="005A6829" w:rsidP="005A682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Bu itibarla; 30.04.2010 tarihinden itibaren yapılacak denetimlerde; K1* ve K2* yetki belgesi veya taşıt kartı almak için 31.12.2009 mesai bitimine kadar yetkili mercilere müracaat ettikleri halde; yoğunluktan kaynaklanan fiili imkansızlık sebebiyle fiziken belgeleri düzenlenip kendilerine henüz verilmeyen, ancak belge düzenleme işlemleri devam eden bu taşıtların sahiplerinden; 01.01.2010 ve 30.04.2010 tarihleri arasında yetki belgesi veya taşıt kartı aranmaması ve bu nedenle para cezası dahil hiçbir cezai müeyyide uygulanmamaktadır.</w:t>
            </w:r>
          </w:p>
          <w:p w:rsidR="005A6829" w:rsidRPr="005A6829" w:rsidRDefault="005A6829" w:rsidP="005A682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A6829" w:rsidRPr="005A6829" w:rsidRDefault="005A6829" w:rsidP="005A682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Ancak; </w:t>
            </w:r>
            <w:r w:rsidRPr="005A682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tr-TR"/>
              </w:rPr>
              <w:t>30 Nisan 2010 tarihinden sonra yapılacak denetimlerde işlemlerini gerçekleştirmeyen taşıt sahiplerine uygulanacak 2.044 TL</w:t>
            </w:r>
            <w:r w:rsidRPr="005A6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miktarındaki cezaya maruz kalmamaları için Odanıza kayıtlı üyelerinizin ivedilikle bilgilendirilmesi hususunda gereğini önemle rica ederiz. </w:t>
            </w:r>
          </w:p>
          <w:p w:rsidR="005A6829" w:rsidRPr="005A6829" w:rsidRDefault="005A6829" w:rsidP="005A6829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 </w:t>
            </w:r>
          </w:p>
          <w:p w:rsidR="005A6829" w:rsidRPr="005A6829" w:rsidRDefault="005A6829" w:rsidP="005A682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29"/>
    <w:rsid w:val="005A6829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A6829"/>
  </w:style>
  <w:style w:type="character" w:styleId="Gl">
    <w:name w:val="Strong"/>
    <w:basedOn w:val="VarsaylanParagrafYazTipi"/>
    <w:uiPriority w:val="22"/>
    <w:qFormat/>
    <w:rsid w:val="005A68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A6829"/>
  </w:style>
  <w:style w:type="character" w:styleId="Gl">
    <w:name w:val="Strong"/>
    <w:basedOn w:val="VarsaylanParagrafYazTipi"/>
    <w:uiPriority w:val="22"/>
    <w:qFormat/>
    <w:rsid w:val="005A68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49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1049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2013-09-04T13:54:00Z</dcterms:created>
  <dcterms:modified xsi:type="dcterms:W3CDTF">2013-09-04T13:54:00Z</dcterms:modified>
</cp:coreProperties>
</file>